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FC0D4" w14:textId="77777777" w:rsidR="000374B3" w:rsidRPr="007005C5" w:rsidRDefault="000374B3">
      <w:pPr>
        <w:widowControl/>
        <w:jc w:val="center"/>
        <w:rPr>
          <w:rFonts w:ascii="Arial" w:hAnsi="Arial" w:cs="Arial"/>
          <w:b/>
          <w:bCs/>
          <w:sz w:val="28"/>
          <w:szCs w:val="28"/>
        </w:rPr>
      </w:pPr>
      <w:r w:rsidRPr="007005C5">
        <w:rPr>
          <w:rFonts w:ascii="Arial" w:hAnsi="Arial" w:cs="Arial"/>
          <w:b/>
          <w:bCs/>
          <w:sz w:val="28"/>
          <w:szCs w:val="28"/>
        </w:rPr>
        <w:t>IMITATION CONTROLLED SUBSTANCES</w:t>
      </w:r>
    </w:p>
    <w:p w14:paraId="4C958451" w14:textId="77777777" w:rsidR="000374B3" w:rsidRPr="007005C5" w:rsidRDefault="000374B3">
      <w:pPr>
        <w:widowControl/>
        <w:jc w:val="center"/>
        <w:rPr>
          <w:rFonts w:ascii="Arial" w:hAnsi="Arial" w:cs="Arial"/>
          <w:b/>
          <w:bCs/>
          <w:sz w:val="28"/>
          <w:szCs w:val="28"/>
        </w:rPr>
      </w:pPr>
      <w:r w:rsidRPr="007005C5">
        <w:rPr>
          <w:rFonts w:ascii="Arial" w:hAnsi="Arial" w:cs="Arial"/>
          <w:b/>
          <w:bCs/>
          <w:sz w:val="28"/>
          <w:szCs w:val="28"/>
        </w:rPr>
        <w:t xml:space="preserve">Public Health Law </w:t>
      </w:r>
      <w:r w:rsidRPr="007005C5">
        <w:rPr>
          <w:rFonts w:ascii="Arial" w:hAnsi="Arial" w:cs="Arial"/>
          <w:b/>
          <w:bCs/>
          <w:sz w:val="28"/>
          <w:szCs w:val="28"/>
        </w:rPr>
        <w:sym w:font="WP TypographicSymbols" w:char="0027"/>
      </w:r>
      <w:r w:rsidRPr="007005C5">
        <w:rPr>
          <w:rFonts w:ascii="Arial" w:hAnsi="Arial" w:cs="Arial"/>
          <w:b/>
          <w:bCs/>
          <w:sz w:val="28"/>
          <w:szCs w:val="28"/>
        </w:rPr>
        <w:t xml:space="preserve"> 3383 (2)</w:t>
      </w:r>
    </w:p>
    <w:p w14:paraId="1F0208A5" w14:textId="77777777" w:rsidR="000374B3" w:rsidRPr="007005C5" w:rsidRDefault="000374B3">
      <w:pPr>
        <w:widowControl/>
        <w:jc w:val="center"/>
        <w:rPr>
          <w:rFonts w:ascii="Arial" w:hAnsi="Arial" w:cs="Arial"/>
          <w:b/>
          <w:bCs/>
          <w:sz w:val="28"/>
          <w:szCs w:val="28"/>
        </w:rPr>
      </w:pPr>
      <w:r w:rsidRPr="007005C5">
        <w:rPr>
          <w:rFonts w:ascii="Arial" w:hAnsi="Arial" w:cs="Arial"/>
          <w:b/>
          <w:bCs/>
          <w:sz w:val="28"/>
          <w:szCs w:val="28"/>
        </w:rPr>
        <w:t xml:space="preserve">(Committed on or after Sept. 1, 1982)  </w:t>
      </w:r>
    </w:p>
    <w:p w14:paraId="2C126707" w14:textId="77777777" w:rsidR="000374B3" w:rsidRPr="007005C5" w:rsidRDefault="000374B3">
      <w:pPr>
        <w:widowControl/>
        <w:jc w:val="center"/>
        <w:rPr>
          <w:rFonts w:ascii="Arial" w:hAnsi="Arial" w:cs="Arial"/>
          <w:sz w:val="28"/>
          <w:szCs w:val="28"/>
        </w:rPr>
      </w:pPr>
    </w:p>
    <w:p w14:paraId="59073D26" w14:textId="7322B222" w:rsidR="000374B3" w:rsidRDefault="000374B3">
      <w:pPr>
        <w:widowControl/>
        <w:ind w:firstLine="720"/>
        <w:jc w:val="both"/>
        <w:rPr>
          <w:rFonts w:ascii="Arial" w:hAnsi="Arial" w:cs="Arial"/>
          <w:sz w:val="28"/>
          <w:szCs w:val="28"/>
        </w:rPr>
      </w:pPr>
      <w:r w:rsidRPr="007005C5">
        <w:rPr>
          <w:rFonts w:ascii="Arial" w:hAnsi="Arial" w:cs="Arial"/>
          <w:sz w:val="28"/>
          <w:szCs w:val="28"/>
        </w:rPr>
        <w:t xml:space="preserve">The </w:t>
      </w:r>
      <w:r w:rsidR="00221E28">
        <w:rPr>
          <w:rFonts w:ascii="Arial" w:hAnsi="Arial" w:cs="Arial"/>
          <w:sz w:val="28"/>
          <w:szCs w:val="28"/>
        </w:rPr>
        <w:t>(</w:t>
      </w:r>
      <w:r w:rsidR="00221E28" w:rsidRPr="00221E28">
        <w:rPr>
          <w:rFonts w:ascii="Arial" w:hAnsi="Arial" w:cs="Arial"/>
          <w:i/>
          <w:iCs/>
          <w:sz w:val="28"/>
          <w:szCs w:val="28"/>
          <w:u w:val="single"/>
        </w:rPr>
        <w:t>specify</w:t>
      </w:r>
      <w:r w:rsidR="00221E28">
        <w:rPr>
          <w:rFonts w:ascii="Arial" w:hAnsi="Arial" w:cs="Arial"/>
          <w:sz w:val="28"/>
          <w:szCs w:val="28"/>
        </w:rPr>
        <w:t>)</w:t>
      </w:r>
      <w:r w:rsidRPr="007005C5">
        <w:rPr>
          <w:rFonts w:ascii="Arial" w:hAnsi="Arial" w:cs="Arial"/>
          <w:sz w:val="28"/>
          <w:szCs w:val="28"/>
        </w:rPr>
        <w:t xml:space="preserve"> count is Imitation Controlled Substances.</w:t>
      </w:r>
    </w:p>
    <w:p w14:paraId="1518BB37" w14:textId="77777777" w:rsidR="00221E28" w:rsidRPr="007005C5" w:rsidRDefault="00221E28">
      <w:pPr>
        <w:widowControl/>
        <w:ind w:firstLine="720"/>
        <w:jc w:val="both"/>
        <w:rPr>
          <w:rFonts w:ascii="Arial" w:hAnsi="Arial" w:cs="Arial"/>
          <w:sz w:val="28"/>
          <w:szCs w:val="28"/>
        </w:rPr>
      </w:pPr>
    </w:p>
    <w:p w14:paraId="05C1D132" w14:textId="2B822001" w:rsidR="000374B3" w:rsidRDefault="000374B3">
      <w:pPr>
        <w:widowControl/>
        <w:ind w:firstLine="720"/>
        <w:jc w:val="both"/>
        <w:rPr>
          <w:rFonts w:ascii="Arial" w:hAnsi="Arial" w:cs="Arial"/>
          <w:sz w:val="28"/>
          <w:szCs w:val="28"/>
        </w:rPr>
      </w:pPr>
      <w:r w:rsidRPr="007005C5">
        <w:rPr>
          <w:rFonts w:ascii="Arial" w:hAnsi="Arial" w:cs="Arial"/>
          <w:sz w:val="28"/>
          <w:szCs w:val="28"/>
        </w:rPr>
        <w:t xml:space="preserve">Under our law, it is unlawful for any person to </w:t>
      </w:r>
    </w:p>
    <w:p w14:paraId="3A12A1ED" w14:textId="77777777" w:rsidR="007005C5" w:rsidRPr="007005C5" w:rsidRDefault="007005C5">
      <w:pPr>
        <w:widowControl/>
        <w:ind w:firstLine="720"/>
        <w:jc w:val="both"/>
        <w:rPr>
          <w:rFonts w:ascii="Arial" w:hAnsi="Arial" w:cs="Arial"/>
          <w:sz w:val="28"/>
          <w:szCs w:val="28"/>
        </w:rPr>
      </w:pPr>
    </w:p>
    <w:p w14:paraId="77831E56" w14:textId="77777777" w:rsidR="000374B3" w:rsidRPr="007005C5" w:rsidRDefault="000374B3">
      <w:pPr>
        <w:widowControl/>
        <w:ind w:left="1440"/>
        <w:jc w:val="both"/>
        <w:rPr>
          <w:rFonts w:ascii="Arial" w:hAnsi="Arial" w:cs="Arial"/>
          <w:sz w:val="28"/>
          <w:szCs w:val="28"/>
        </w:rPr>
      </w:pPr>
      <w:r w:rsidRPr="007005C5">
        <w:rPr>
          <w:rFonts w:ascii="Arial" w:hAnsi="Arial" w:cs="Arial"/>
          <w:i/>
          <w:iCs/>
          <w:sz w:val="28"/>
          <w:szCs w:val="28"/>
        </w:rPr>
        <w:t>Select appropriate alternative(s)</w:t>
      </w:r>
      <w:r w:rsidRPr="007005C5">
        <w:rPr>
          <w:rFonts w:ascii="Arial" w:hAnsi="Arial" w:cs="Arial"/>
          <w:sz w:val="28"/>
          <w:szCs w:val="28"/>
        </w:rPr>
        <w:t>:</w:t>
      </w:r>
    </w:p>
    <w:p w14:paraId="7C2FCBC4" w14:textId="77777777" w:rsidR="000374B3" w:rsidRPr="007005C5" w:rsidRDefault="000374B3">
      <w:pPr>
        <w:widowControl/>
        <w:ind w:left="1440"/>
        <w:jc w:val="both"/>
        <w:rPr>
          <w:rFonts w:ascii="Arial" w:hAnsi="Arial" w:cs="Arial"/>
          <w:sz w:val="28"/>
          <w:szCs w:val="28"/>
        </w:rPr>
      </w:pPr>
      <w:r w:rsidRPr="007005C5">
        <w:rPr>
          <w:rFonts w:ascii="Arial" w:hAnsi="Arial" w:cs="Arial"/>
          <w:sz w:val="28"/>
          <w:szCs w:val="28"/>
        </w:rPr>
        <w:t>manufacture,</w:t>
      </w:r>
    </w:p>
    <w:p w14:paraId="50A9083A" w14:textId="77777777" w:rsidR="000374B3" w:rsidRPr="007005C5" w:rsidRDefault="000374B3">
      <w:pPr>
        <w:widowControl/>
        <w:ind w:left="1440"/>
        <w:jc w:val="both"/>
        <w:rPr>
          <w:rFonts w:ascii="Arial" w:hAnsi="Arial" w:cs="Arial"/>
          <w:sz w:val="28"/>
          <w:szCs w:val="28"/>
        </w:rPr>
      </w:pPr>
      <w:r w:rsidRPr="007005C5">
        <w:rPr>
          <w:rFonts w:ascii="Arial" w:hAnsi="Arial" w:cs="Arial"/>
          <w:sz w:val="28"/>
          <w:szCs w:val="28"/>
        </w:rPr>
        <w:t>sell,</w:t>
      </w:r>
    </w:p>
    <w:p w14:paraId="7FAD73CE" w14:textId="77777777" w:rsidR="000374B3" w:rsidRPr="007005C5" w:rsidRDefault="000374B3">
      <w:pPr>
        <w:widowControl/>
        <w:ind w:left="1440"/>
        <w:jc w:val="both"/>
        <w:rPr>
          <w:rFonts w:ascii="Arial" w:hAnsi="Arial" w:cs="Arial"/>
          <w:sz w:val="28"/>
          <w:szCs w:val="28"/>
        </w:rPr>
      </w:pPr>
      <w:r w:rsidRPr="007005C5">
        <w:rPr>
          <w:rFonts w:ascii="Arial" w:hAnsi="Arial" w:cs="Arial"/>
          <w:sz w:val="28"/>
          <w:szCs w:val="28"/>
        </w:rPr>
        <w:t>possess with intent to sell</w:t>
      </w:r>
    </w:p>
    <w:p w14:paraId="21DA3D30" w14:textId="77777777" w:rsidR="007005C5" w:rsidRDefault="007005C5">
      <w:pPr>
        <w:widowControl/>
        <w:jc w:val="both"/>
        <w:rPr>
          <w:rFonts w:ascii="Arial" w:hAnsi="Arial" w:cs="Arial"/>
          <w:sz w:val="28"/>
          <w:szCs w:val="28"/>
        </w:rPr>
      </w:pPr>
    </w:p>
    <w:p w14:paraId="3C40A4C4" w14:textId="77DAD996" w:rsidR="000374B3" w:rsidRPr="007005C5" w:rsidRDefault="000374B3">
      <w:pPr>
        <w:widowControl/>
        <w:jc w:val="both"/>
        <w:rPr>
          <w:rFonts w:ascii="Arial" w:hAnsi="Arial" w:cs="Arial"/>
          <w:sz w:val="28"/>
          <w:szCs w:val="28"/>
        </w:rPr>
      </w:pPr>
      <w:r w:rsidRPr="007005C5">
        <w:rPr>
          <w:rFonts w:ascii="Arial" w:hAnsi="Arial" w:cs="Arial"/>
          <w:sz w:val="28"/>
          <w:szCs w:val="28"/>
        </w:rPr>
        <w:t>an imitation controlled substance</w:t>
      </w:r>
    </w:p>
    <w:p w14:paraId="20F15EA4" w14:textId="77777777" w:rsidR="007005C5" w:rsidRDefault="007005C5">
      <w:pPr>
        <w:widowControl/>
        <w:jc w:val="both"/>
        <w:rPr>
          <w:rFonts w:ascii="Arial" w:hAnsi="Arial" w:cs="Arial"/>
          <w:sz w:val="28"/>
          <w:szCs w:val="28"/>
        </w:rPr>
      </w:pPr>
    </w:p>
    <w:p w14:paraId="16FDC1A8" w14:textId="4C6A3147" w:rsidR="000374B3" w:rsidRPr="007005C5" w:rsidRDefault="000374B3">
      <w:pPr>
        <w:widowControl/>
        <w:jc w:val="both"/>
        <w:rPr>
          <w:rFonts w:ascii="Arial" w:hAnsi="Arial" w:cs="Arial"/>
          <w:sz w:val="28"/>
          <w:szCs w:val="28"/>
        </w:rPr>
      </w:pPr>
      <w:r w:rsidRPr="007005C5">
        <w:rPr>
          <w:rFonts w:ascii="Arial" w:hAnsi="Arial" w:cs="Arial"/>
          <w:sz w:val="28"/>
          <w:szCs w:val="28"/>
        </w:rPr>
        <w:t>[after having been convicted of the offense of Imitation Controlled Substance within the preceding five years.</w:t>
      </w:r>
      <w:r w:rsidRPr="007005C5">
        <w:rPr>
          <w:rStyle w:val="FootnoteReference"/>
          <w:rFonts w:ascii="Arial" w:hAnsi="Arial" w:cs="Arial"/>
          <w:b/>
          <w:bCs/>
          <w:sz w:val="28"/>
          <w:szCs w:val="28"/>
          <w:vertAlign w:val="superscript"/>
        </w:rPr>
        <w:footnoteReference w:id="1"/>
      </w:r>
      <w:r w:rsidRPr="007005C5">
        <w:rPr>
          <w:rFonts w:ascii="Arial" w:hAnsi="Arial" w:cs="Arial"/>
          <w:sz w:val="28"/>
          <w:szCs w:val="28"/>
        </w:rPr>
        <w:t>]</w:t>
      </w:r>
    </w:p>
    <w:p w14:paraId="1FFB0454" w14:textId="77777777" w:rsidR="000374B3" w:rsidRPr="007005C5" w:rsidRDefault="000374B3">
      <w:pPr>
        <w:widowControl/>
        <w:jc w:val="both"/>
        <w:rPr>
          <w:rFonts w:ascii="Arial" w:hAnsi="Arial" w:cs="Arial"/>
          <w:sz w:val="28"/>
          <w:szCs w:val="28"/>
        </w:rPr>
      </w:pPr>
    </w:p>
    <w:p w14:paraId="7BE1CA20" w14:textId="77777777" w:rsidR="000374B3" w:rsidRPr="007005C5" w:rsidRDefault="000374B3">
      <w:pPr>
        <w:widowControl/>
        <w:ind w:firstLine="720"/>
        <w:jc w:val="both"/>
        <w:rPr>
          <w:rFonts w:ascii="Arial" w:hAnsi="Arial" w:cs="Arial"/>
          <w:sz w:val="28"/>
          <w:szCs w:val="28"/>
        </w:rPr>
      </w:pPr>
      <w:r w:rsidRPr="007005C5">
        <w:rPr>
          <w:rFonts w:ascii="Arial" w:hAnsi="Arial" w:cs="Arial"/>
          <w:sz w:val="28"/>
          <w:szCs w:val="28"/>
        </w:rPr>
        <w:t>The following terms used in that definition have a special meaning:</w:t>
      </w:r>
    </w:p>
    <w:p w14:paraId="201435FF" w14:textId="77777777" w:rsidR="000374B3" w:rsidRPr="007005C5" w:rsidRDefault="000374B3">
      <w:pPr>
        <w:widowControl/>
        <w:jc w:val="both"/>
        <w:rPr>
          <w:rFonts w:ascii="Arial" w:hAnsi="Arial" w:cs="Arial"/>
          <w:sz w:val="28"/>
          <w:szCs w:val="28"/>
        </w:rPr>
      </w:pPr>
    </w:p>
    <w:p w14:paraId="243A728B" w14:textId="77777777" w:rsidR="00221E28" w:rsidRDefault="000374B3">
      <w:pPr>
        <w:widowControl/>
        <w:ind w:firstLine="720"/>
        <w:jc w:val="both"/>
        <w:rPr>
          <w:rFonts w:ascii="Arial" w:hAnsi="Arial" w:cs="Arial"/>
          <w:sz w:val="28"/>
          <w:szCs w:val="28"/>
        </w:rPr>
      </w:pPr>
      <w:r w:rsidRPr="007005C5">
        <w:rPr>
          <w:rFonts w:ascii="Arial" w:hAnsi="Arial" w:cs="Arial"/>
          <w:sz w:val="28"/>
          <w:szCs w:val="28"/>
        </w:rPr>
        <w:t xml:space="preserve">IMITATION CONTROLLED SUBSTANCE means a </w:t>
      </w:r>
    </w:p>
    <w:p w14:paraId="2F548F13" w14:textId="7148FBA3" w:rsidR="000374B3" w:rsidRDefault="00221E28" w:rsidP="00221E28">
      <w:pPr>
        <w:widowControl/>
        <w:jc w:val="both"/>
        <w:rPr>
          <w:rFonts w:ascii="Arial" w:hAnsi="Arial" w:cs="Arial"/>
          <w:sz w:val="28"/>
          <w:szCs w:val="28"/>
        </w:rPr>
      </w:pPr>
      <w:r>
        <w:rPr>
          <w:rFonts w:ascii="Arial" w:hAnsi="Arial" w:cs="Arial"/>
          <w:sz w:val="28"/>
          <w:szCs w:val="28"/>
        </w:rPr>
        <w:br w:type="page"/>
      </w:r>
      <w:bookmarkStart w:id="0" w:name="_GoBack"/>
      <w:bookmarkEnd w:id="0"/>
      <w:r w:rsidR="000374B3" w:rsidRPr="007005C5">
        <w:rPr>
          <w:rFonts w:ascii="Arial" w:hAnsi="Arial" w:cs="Arial"/>
          <w:sz w:val="28"/>
          <w:szCs w:val="28"/>
        </w:rPr>
        <w:lastRenderedPageBreak/>
        <w:t>substance</w:t>
      </w:r>
      <w:r w:rsidR="000374B3" w:rsidRPr="007005C5">
        <w:rPr>
          <w:rStyle w:val="FootnoteReference"/>
          <w:rFonts w:ascii="Arial" w:hAnsi="Arial" w:cs="Arial"/>
          <w:sz w:val="28"/>
          <w:szCs w:val="28"/>
          <w:vertAlign w:val="superscript"/>
        </w:rPr>
        <w:footnoteReference w:id="2"/>
      </w:r>
      <w:r w:rsidR="000374B3" w:rsidRPr="007005C5">
        <w:rPr>
          <w:rFonts w:ascii="Arial" w:hAnsi="Arial" w:cs="Arial"/>
          <w:sz w:val="28"/>
          <w:szCs w:val="28"/>
        </w:rPr>
        <w:t xml:space="preserve"> that is not a controlled substance, which by dosage unit appearance, including color, shape and size, and by a representation, is represented to be a controlled substance.  Evidence of representations that the substance is a controlled substance may include, but is not limited to, oral or written representations by the manufacturer or seller, as the case may be, about the substance with regard to:</w:t>
      </w:r>
    </w:p>
    <w:p w14:paraId="4E526420" w14:textId="77777777" w:rsidR="007005C5" w:rsidRPr="007005C5" w:rsidRDefault="007005C5">
      <w:pPr>
        <w:widowControl/>
        <w:ind w:firstLine="720"/>
        <w:jc w:val="both"/>
        <w:rPr>
          <w:rFonts w:ascii="Arial" w:hAnsi="Arial" w:cs="Arial"/>
          <w:sz w:val="28"/>
          <w:szCs w:val="28"/>
        </w:rPr>
      </w:pPr>
    </w:p>
    <w:p w14:paraId="5A0192C9" w14:textId="609616E2" w:rsidR="000374B3" w:rsidRDefault="000374B3" w:rsidP="00221E28">
      <w:pPr>
        <w:numPr>
          <w:ilvl w:val="0"/>
          <w:numId w:val="1"/>
        </w:numPr>
        <w:jc w:val="both"/>
        <w:rPr>
          <w:rFonts w:ascii="Arial" w:hAnsi="Arial" w:cs="Arial"/>
          <w:sz w:val="28"/>
          <w:szCs w:val="28"/>
        </w:rPr>
      </w:pPr>
      <w:r w:rsidRPr="007005C5">
        <w:rPr>
          <w:rFonts w:ascii="Arial" w:hAnsi="Arial" w:cs="Arial"/>
          <w:sz w:val="28"/>
          <w:szCs w:val="28"/>
        </w:rPr>
        <w:t>its price, nature, use or effect as a controlled substance; or</w:t>
      </w:r>
    </w:p>
    <w:p w14:paraId="34D81478" w14:textId="77777777" w:rsidR="00221E28" w:rsidRPr="007005C5" w:rsidRDefault="00221E28" w:rsidP="00221E28">
      <w:pPr>
        <w:ind w:left="1440"/>
        <w:jc w:val="both"/>
        <w:rPr>
          <w:rFonts w:ascii="Arial" w:hAnsi="Arial" w:cs="Arial"/>
          <w:sz w:val="28"/>
          <w:szCs w:val="28"/>
        </w:rPr>
      </w:pPr>
    </w:p>
    <w:p w14:paraId="0968FC6B" w14:textId="2EA61354" w:rsidR="000374B3" w:rsidRDefault="000374B3" w:rsidP="00221E28">
      <w:pPr>
        <w:numPr>
          <w:ilvl w:val="0"/>
          <w:numId w:val="1"/>
        </w:numPr>
        <w:jc w:val="both"/>
        <w:rPr>
          <w:rFonts w:ascii="Arial" w:hAnsi="Arial" w:cs="Arial"/>
          <w:sz w:val="28"/>
          <w:szCs w:val="28"/>
        </w:rPr>
      </w:pPr>
      <w:r w:rsidRPr="007005C5">
        <w:rPr>
          <w:rFonts w:ascii="Arial" w:hAnsi="Arial" w:cs="Arial"/>
          <w:sz w:val="28"/>
          <w:szCs w:val="28"/>
        </w:rPr>
        <w:t>its packaging in a manner normally used for illicit controlled substances</w:t>
      </w:r>
      <w:r w:rsidRPr="007005C5">
        <w:rPr>
          <w:rFonts w:ascii="Arial" w:hAnsi="Arial" w:cs="Arial"/>
          <w:sz w:val="28"/>
          <w:szCs w:val="28"/>
        </w:rPr>
        <w:sym w:font="WP TypographicSymbols" w:char="003D"/>
      </w:r>
      <w:r w:rsidRPr="007005C5">
        <w:rPr>
          <w:rFonts w:ascii="Arial" w:hAnsi="Arial" w:cs="Arial"/>
          <w:sz w:val="28"/>
          <w:szCs w:val="28"/>
        </w:rPr>
        <w:t xml:space="preserve"> or</w:t>
      </w:r>
    </w:p>
    <w:p w14:paraId="7892B13B" w14:textId="77777777" w:rsidR="00221E28" w:rsidRPr="007005C5" w:rsidRDefault="00221E28" w:rsidP="00221E28">
      <w:pPr>
        <w:jc w:val="both"/>
        <w:rPr>
          <w:rFonts w:ascii="Arial" w:hAnsi="Arial" w:cs="Arial"/>
          <w:sz w:val="28"/>
          <w:szCs w:val="28"/>
        </w:rPr>
      </w:pPr>
    </w:p>
    <w:p w14:paraId="1BA84EB8" w14:textId="7EFA0B58" w:rsidR="000374B3" w:rsidRDefault="000374B3">
      <w:pPr>
        <w:widowControl/>
        <w:ind w:firstLine="720"/>
        <w:jc w:val="both"/>
        <w:rPr>
          <w:rFonts w:ascii="Arial" w:hAnsi="Arial" w:cs="Arial"/>
          <w:sz w:val="28"/>
          <w:szCs w:val="28"/>
        </w:rPr>
      </w:pPr>
      <w:r w:rsidRPr="007005C5">
        <w:rPr>
          <w:rFonts w:ascii="Arial" w:hAnsi="Arial" w:cs="Arial"/>
          <w:sz w:val="28"/>
          <w:szCs w:val="28"/>
        </w:rPr>
        <w:t>3.</w:t>
      </w:r>
      <w:r w:rsidRPr="007005C5">
        <w:rPr>
          <w:rFonts w:ascii="Arial" w:hAnsi="Arial" w:cs="Arial"/>
          <w:sz w:val="28"/>
          <w:szCs w:val="28"/>
        </w:rPr>
        <w:tab/>
        <w:t>markings on the substance.</w:t>
      </w:r>
      <w:r w:rsidRPr="007005C5">
        <w:rPr>
          <w:rStyle w:val="FootnoteReference"/>
          <w:rFonts w:ascii="Arial" w:hAnsi="Arial" w:cs="Arial"/>
          <w:sz w:val="28"/>
          <w:szCs w:val="28"/>
          <w:vertAlign w:val="superscript"/>
        </w:rPr>
        <w:footnoteReference w:id="3"/>
      </w:r>
    </w:p>
    <w:p w14:paraId="59923850" w14:textId="77777777" w:rsidR="007005C5" w:rsidRPr="007005C5" w:rsidRDefault="007005C5">
      <w:pPr>
        <w:widowControl/>
        <w:ind w:firstLine="720"/>
        <w:jc w:val="both"/>
        <w:rPr>
          <w:rFonts w:ascii="Arial" w:hAnsi="Arial" w:cs="Arial"/>
          <w:sz w:val="28"/>
          <w:szCs w:val="28"/>
        </w:rPr>
      </w:pPr>
    </w:p>
    <w:p w14:paraId="22E0A503" w14:textId="77777777" w:rsidR="000374B3" w:rsidRPr="007005C5" w:rsidRDefault="000374B3">
      <w:pPr>
        <w:widowControl/>
        <w:ind w:firstLine="720"/>
        <w:jc w:val="both"/>
        <w:rPr>
          <w:rFonts w:ascii="Arial" w:hAnsi="Arial" w:cs="Arial"/>
          <w:sz w:val="28"/>
          <w:szCs w:val="28"/>
        </w:rPr>
      </w:pPr>
      <w:r w:rsidRPr="007005C5">
        <w:rPr>
          <w:rFonts w:ascii="Arial" w:hAnsi="Arial" w:cs="Arial"/>
          <w:sz w:val="28"/>
          <w:szCs w:val="28"/>
        </w:rPr>
        <w:t>[MANUFACTURE means the production, preparation, compounding, tableting, processing, encapsulating, packaging, repackaging, labeling or relabeling of an imitation controlled substance.]</w:t>
      </w:r>
      <w:r w:rsidRPr="007005C5">
        <w:rPr>
          <w:rStyle w:val="FootnoteReference"/>
          <w:rFonts w:ascii="Arial" w:hAnsi="Arial" w:cs="Arial"/>
          <w:sz w:val="28"/>
          <w:szCs w:val="28"/>
          <w:vertAlign w:val="superscript"/>
        </w:rPr>
        <w:footnoteReference w:id="4"/>
      </w:r>
      <w:r w:rsidRPr="007005C5">
        <w:rPr>
          <w:rFonts w:ascii="Arial" w:hAnsi="Arial" w:cs="Arial"/>
          <w:sz w:val="28"/>
          <w:szCs w:val="28"/>
        </w:rPr>
        <w:t xml:space="preserve"> </w:t>
      </w:r>
    </w:p>
    <w:p w14:paraId="6887EBF1" w14:textId="77777777" w:rsidR="000374B3" w:rsidRDefault="000374B3">
      <w:pPr>
        <w:widowControl/>
        <w:ind w:firstLine="720"/>
        <w:jc w:val="both"/>
        <w:rPr>
          <w:rFonts w:ascii="Arial" w:hAnsi="Arial" w:cs="Arial"/>
          <w:sz w:val="28"/>
          <w:szCs w:val="28"/>
        </w:rPr>
      </w:pPr>
    </w:p>
    <w:p w14:paraId="3EADCE93" w14:textId="17EA7E73" w:rsidR="000374B3" w:rsidRDefault="000374B3">
      <w:pPr>
        <w:widowControl/>
        <w:ind w:firstLine="720"/>
        <w:jc w:val="both"/>
        <w:rPr>
          <w:rFonts w:ascii="Arial" w:hAnsi="Arial" w:cs="Arial"/>
          <w:sz w:val="28"/>
          <w:szCs w:val="28"/>
        </w:rPr>
      </w:pPr>
      <w:r w:rsidRPr="007005C5">
        <w:rPr>
          <w:rFonts w:ascii="Arial" w:hAnsi="Arial" w:cs="Arial"/>
          <w:sz w:val="28"/>
          <w:szCs w:val="28"/>
        </w:rPr>
        <w:lastRenderedPageBreak/>
        <w:t>[SELL means to sell, exchange, give or dispose of to another, or offer or agree to do the same. Sell also includes an offer or agreement to sell even if actual delivery does not occur, provided that, at the time of the offer or agreement, the person has the intent and ability to make the sale.]</w:t>
      </w:r>
      <w:r w:rsidRPr="007005C5">
        <w:rPr>
          <w:rStyle w:val="FootnoteReference"/>
          <w:rFonts w:ascii="Arial" w:hAnsi="Arial" w:cs="Arial"/>
          <w:sz w:val="28"/>
          <w:szCs w:val="28"/>
          <w:vertAlign w:val="superscript"/>
        </w:rPr>
        <w:footnoteReference w:id="5"/>
      </w:r>
    </w:p>
    <w:p w14:paraId="1A01BA5A" w14:textId="77777777" w:rsidR="00221E28" w:rsidRPr="007005C5" w:rsidRDefault="00221E28">
      <w:pPr>
        <w:widowControl/>
        <w:ind w:firstLine="720"/>
        <w:jc w:val="both"/>
        <w:rPr>
          <w:rFonts w:ascii="Arial" w:hAnsi="Arial" w:cs="Arial"/>
          <w:sz w:val="28"/>
          <w:szCs w:val="28"/>
        </w:rPr>
      </w:pPr>
    </w:p>
    <w:p w14:paraId="2CDAB0B9" w14:textId="4F56C77E" w:rsidR="000374B3" w:rsidRDefault="000374B3">
      <w:pPr>
        <w:widowControl/>
        <w:ind w:firstLine="720"/>
        <w:jc w:val="both"/>
        <w:rPr>
          <w:rFonts w:ascii="Arial" w:hAnsi="Arial" w:cs="Arial"/>
          <w:sz w:val="28"/>
          <w:szCs w:val="28"/>
        </w:rPr>
      </w:pPr>
      <w:r w:rsidRPr="007005C5">
        <w:rPr>
          <w:rFonts w:ascii="Arial" w:hAnsi="Arial" w:cs="Arial"/>
          <w:sz w:val="28"/>
          <w:szCs w:val="28"/>
        </w:rPr>
        <w:t>[POSSESS means to have physical possession or otherwise to exercise dominion or control over tangible property.]</w:t>
      </w:r>
      <w:r w:rsidRPr="007005C5">
        <w:rPr>
          <w:rStyle w:val="FootnoteReference"/>
          <w:rFonts w:ascii="Arial" w:hAnsi="Arial" w:cs="Arial"/>
          <w:sz w:val="28"/>
          <w:szCs w:val="28"/>
          <w:vertAlign w:val="superscript"/>
        </w:rPr>
        <w:footnoteReference w:id="6"/>
      </w:r>
    </w:p>
    <w:p w14:paraId="4F2FFA79" w14:textId="77777777" w:rsidR="00221E28" w:rsidRPr="007005C5" w:rsidRDefault="00221E28">
      <w:pPr>
        <w:widowControl/>
        <w:ind w:firstLine="720"/>
        <w:jc w:val="both"/>
        <w:rPr>
          <w:rFonts w:ascii="Arial" w:hAnsi="Arial" w:cs="Arial"/>
          <w:sz w:val="28"/>
          <w:szCs w:val="28"/>
        </w:rPr>
      </w:pPr>
    </w:p>
    <w:p w14:paraId="5CBA8272" w14:textId="7EA8DBA7" w:rsidR="000374B3" w:rsidRDefault="000374B3">
      <w:pPr>
        <w:widowControl/>
        <w:ind w:firstLine="720"/>
        <w:jc w:val="both"/>
        <w:rPr>
          <w:rFonts w:ascii="Arial" w:hAnsi="Arial" w:cs="Arial"/>
          <w:sz w:val="28"/>
          <w:szCs w:val="28"/>
        </w:rPr>
      </w:pPr>
      <w:r w:rsidRPr="007005C5">
        <w:rPr>
          <w:rFonts w:ascii="Arial" w:hAnsi="Arial" w:cs="Arial"/>
          <w:sz w:val="28"/>
          <w:szCs w:val="28"/>
        </w:rPr>
        <w:t>[INTENT means conscious objective or purpose. Thus, a person possesses (</w:t>
      </w:r>
      <w:r w:rsidRPr="007005C5">
        <w:rPr>
          <w:rFonts w:ascii="Arial" w:hAnsi="Arial" w:cs="Arial"/>
          <w:i/>
          <w:iCs/>
          <w:sz w:val="28"/>
          <w:szCs w:val="28"/>
          <w:u w:val="single"/>
        </w:rPr>
        <w:t>specify</w:t>
      </w:r>
      <w:r w:rsidRPr="007005C5">
        <w:rPr>
          <w:rFonts w:ascii="Arial" w:hAnsi="Arial" w:cs="Arial"/>
          <w:sz w:val="28"/>
          <w:szCs w:val="28"/>
        </w:rPr>
        <w:t>) with intent to sell it when his or her conscious objective or purpose is to sell the (</w:t>
      </w:r>
      <w:r w:rsidRPr="007005C5">
        <w:rPr>
          <w:rFonts w:ascii="Arial" w:hAnsi="Arial" w:cs="Arial"/>
          <w:i/>
          <w:iCs/>
          <w:sz w:val="28"/>
          <w:szCs w:val="28"/>
          <w:u w:val="single"/>
        </w:rPr>
        <w:t>specify</w:t>
      </w:r>
      <w:r w:rsidRPr="007005C5">
        <w:rPr>
          <w:rFonts w:ascii="Arial" w:hAnsi="Arial" w:cs="Arial"/>
          <w:sz w:val="28"/>
          <w:szCs w:val="28"/>
        </w:rPr>
        <w:t>).</w:t>
      </w:r>
      <w:r w:rsidRPr="007005C5">
        <w:rPr>
          <w:rStyle w:val="FootnoteReference"/>
          <w:rFonts w:ascii="Arial" w:hAnsi="Arial" w:cs="Arial"/>
          <w:sz w:val="28"/>
          <w:szCs w:val="28"/>
          <w:vertAlign w:val="superscript"/>
        </w:rPr>
        <w:footnoteReference w:id="7"/>
      </w:r>
    </w:p>
    <w:p w14:paraId="2EFFA4DB" w14:textId="77777777" w:rsidR="00221E28" w:rsidRPr="007005C5" w:rsidRDefault="00221E28">
      <w:pPr>
        <w:widowControl/>
        <w:ind w:firstLine="720"/>
        <w:jc w:val="both"/>
        <w:rPr>
          <w:rFonts w:ascii="Arial" w:hAnsi="Arial" w:cs="Arial"/>
          <w:sz w:val="28"/>
          <w:szCs w:val="28"/>
        </w:rPr>
      </w:pPr>
    </w:p>
    <w:p w14:paraId="7A2B3610" w14:textId="206443E5" w:rsidR="000374B3" w:rsidRDefault="000374B3">
      <w:pPr>
        <w:widowControl/>
        <w:ind w:firstLine="720"/>
        <w:jc w:val="both"/>
        <w:rPr>
          <w:rFonts w:ascii="Arial" w:hAnsi="Arial" w:cs="Arial"/>
          <w:sz w:val="28"/>
          <w:szCs w:val="28"/>
        </w:rPr>
      </w:pPr>
      <w:r w:rsidRPr="007005C5">
        <w:rPr>
          <w:rFonts w:ascii="Arial" w:hAnsi="Arial" w:cs="Arial"/>
          <w:sz w:val="28"/>
          <w:szCs w:val="28"/>
        </w:rPr>
        <w:t>It shall not be a defense to a prosecution under this section that the accused believed the imitation controlled substance to be a controlled substance.</w:t>
      </w:r>
      <w:r w:rsidRPr="007005C5">
        <w:rPr>
          <w:rStyle w:val="FootnoteReference"/>
          <w:rFonts w:ascii="Arial" w:hAnsi="Arial" w:cs="Arial"/>
          <w:sz w:val="28"/>
          <w:szCs w:val="28"/>
          <w:vertAlign w:val="superscript"/>
        </w:rPr>
        <w:footnoteReference w:id="8"/>
      </w:r>
    </w:p>
    <w:p w14:paraId="418D75F8" w14:textId="77777777" w:rsidR="00221E28" w:rsidRPr="007005C5" w:rsidRDefault="00221E28">
      <w:pPr>
        <w:widowControl/>
        <w:ind w:firstLine="720"/>
        <w:jc w:val="both"/>
        <w:rPr>
          <w:rFonts w:ascii="Arial" w:hAnsi="Arial" w:cs="Arial"/>
          <w:sz w:val="28"/>
          <w:szCs w:val="28"/>
        </w:rPr>
      </w:pPr>
    </w:p>
    <w:p w14:paraId="66C5FE2B" w14:textId="6AF37366" w:rsidR="000374B3" w:rsidRDefault="000374B3">
      <w:pPr>
        <w:widowControl/>
        <w:ind w:firstLine="720"/>
        <w:jc w:val="both"/>
        <w:rPr>
          <w:rFonts w:ascii="Arial" w:hAnsi="Arial" w:cs="Arial"/>
          <w:sz w:val="28"/>
          <w:szCs w:val="28"/>
        </w:rPr>
      </w:pPr>
      <w:r w:rsidRPr="007005C5">
        <w:rPr>
          <w:rFonts w:ascii="Arial" w:hAnsi="Arial" w:cs="Arial"/>
          <w:sz w:val="28"/>
          <w:szCs w:val="28"/>
        </w:rPr>
        <w:t>In order for you to find the defendant guilty of this crime, the People are required to prove, from all of the evidence in the case, beyond a reasonable doubt, each of the following [three/four] elements:</w:t>
      </w:r>
    </w:p>
    <w:p w14:paraId="189EF4C3" w14:textId="77777777" w:rsidR="00221E28" w:rsidRPr="007005C5" w:rsidRDefault="00221E28">
      <w:pPr>
        <w:widowControl/>
        <w:ind w:firstLine="720"/>
        <w:jc w:val="both"/>
        <w:rPr>
          <w:rFonts w:ascii="Arial" w:hAnsi="Arial" w:cs="Arial"/>
          <w:sz w:val="28"/>
          <w:szCs w:val="28"/>
        </w:rPr>
      </w:pPr>
    </w:p>
    <w:p w14:paraId="54B4A949" w14:textId="2520951D" w:rsidR="000374B3" w:rsidRDefault="000374B3">
      <w:pPr>
        <w:widowControl/>
        <w:ind w:firstLine="720"/>
        <w:jc w:val="both"/>
        <w:rPr>
          <w:rFonts w:ascii="Arial" w:hAnsi="Arial" w:cs="Arial"/>
          <w:sz w:val="28"/>
          <w:szCs w:val="28"/>
        </w:rPr>
      </w:pPr>
      <w:r w:rsidRPr="007005C5">
        <w:rPr>
          <w:rFonts w:ascii="Arial" w:hAnsi="Arial" w:cs="Arial"/>
          <w:sz w:val="28"/>
          <w:szCs w:val="28"/>
        </w:rPr>
        <w:t>1.  That on or about (</w:t>
      </w:r>
      <w:r w:rsidRPr="007005C5">
        <w:rPr>
          <w:rFonts w:ascii="Arial" w:hAnsi="Arial" w:cs="Arial"/>
          <w:i/>
          <w:iCs/>
          <w:sz w:val="28"/>
          <w:szCs w:val="28"/>
          <w:u w:val="single"/>
        </w:rPr>
        <w:t>date</w:t>
      </w:r>
      <w:r w:rsidRPr="007005C5">
        <w:rPr>
          <w:rFonts w:ascii="Arial" w:hAnsi="Arial" w:cs="Arial"/>
          <w:sz w:val="28"/>
          <w:szCs w:val="28"/>
        </w:rPr>
        <w:t xml:space="preserve">), in the county of </w:t>
      </w:r>
      <w:r w:rsidRPr="007005C5">
        <w:rPr>
          <w:rFonts w:ascii="Arial" w:hAnsi="Arial" w:cs="Arial"/>
          <w:sz w:val="28"/>
          <w:szCs w:val="28"/>
          <w:u w:val="single"/>
        </w:rPr>
        <w:t>(</w:t>
      </w:r>
      <w:r w:rsidRPr="007005C5">
        <w:rPr>
          <w:rFonts w:ascii="Arial" w:hAnsi="Arial" w:cs="Arial"/>
          <w:i/>
          <w:iCs/>
          <w:sz w:val="28"/>
          <w:szCs w:val="28"/>
          <w:u w:val="single"/>
        </w:rPr>
        <w:t>County</w:t>
      </w:r>
      <w:r w:rsidRPr="007005C5">
        <w:rPr>
          <w:rFonts w:ascii="Arial" w:hAnsi="Arial" w:cs="Arial"/>
          <w:sz w:val="28"/>
          <w:szCs w:val="28"/>
          <w:u w:val="single"/>
        </w:rPr>
        <w:t>)</w:t>
      </w:r>
      <w:r w:rsidRPr="007005C5">
        <w:rPr>
          <w:rFonts w:ascii="Arial" w:hAnsi="Arial" w:cs="Arial"/>
          <w:sz w:val="28"/>
          <w:szCs w:val="28"/>
        </w:rPr>
        <w:t>, the defendant:</w:t>
      </w:r>
    </w:p>
    <w:p w14:paraId="6E053CD1" w14:textId="77777777" w:rsidR="00221E28" w:rsidRPr="007005C5" w:rsidRDefault="00221E28">
      <w:pPr>
        <w:widowControl/>
        <w:ind w:firstLine="720"/>
        <w:jc w:val="both"/>
        <w:rPr>
          <w:rFonts w:ascii="Arial" w:hAnsi="Arial" w:cs="Arial"/>
          <w:sz w:val="28"/>
          <w:szCs w:val="28"/>
        </w:rPr>
      </w:pPr>
    </w:p>
    <w:p w14:paraId="31CF446A" w14:textId="59DA5043" w:rsidR="000374B3" w:rsidRDefault="000374B3">
      <w:pPr>
        <w:widowControl/>
        <w:ind w:left="720"/>
        <w:jc w:val="both"/>
        <w:rPr>
          <w:rFonts w:ascii="Arial" w:hAnsi="Arial" w:cs="Arial"/>
          <w:sz w:val="28"/>
          <w:szCs w:val="28"/>
        </w:rPr>
      </w:pPr>
      <w:r w:rsidRPr="007005C5">
        <w:rPr>
          <w:rFonts w:ascii="Arial" w:hAnsi="Arial" w:cs="Arial"/>
          <w:i/>
          <w:iCs/>
          <w:sz w:val="28"/>
          <w:szCs w:val="28"/>
        </w:rPr>
        <w:t>Select appropriate alternative(s)</w:t>
      </w:r>
      <w:r w:rsidRPr="007005C5">
        <w:rPr>
          <w:rFonts w:ascii="Arial" w:hAnsi="Arial" w:cs="Arial"/>
          <w:sz w:val="28"/>
          <w:szCs w:val="28"/>
        </w:rPr>
        <w:t>:</w:t>
      </w:r>
    </w:p>
    <w:p w14:paraId="274611B4" w14:textId="77777777" w:rsidR="00221E28" w:rsidRPr="007005C5" w:rsidRDefault="00221E28">
      <w:pPr>
        <w:widowControl/>
        <w:ind w:left="720"/>
        <w:jc w:val="both"/>
        <w:rPr>
          <w:rFonts w:ascii="Arial" w:hAnsi="Arial" w:cs="Arial"/>
          <w:sz w:val="28"/>
          <w:szCs w:val="28"/>
        </w:rPr>
      </w:pPr>
    </w:p>
    <w:p w14:paraId="778069C0" w14:textId="77777777" w:rsidR="000374B3" w:rsidRPr="007005C5" w:rsidRDefault="000374B3">
      <w:pPr>
        <w:widowControl/>
        <w:ind w:left="720"/>
        <w:jc w:val="both"/>
        <w:rPr>
          <w:rFonts w:ascii="Arial" w:hAnsi="Arial" w:cs="Arial"/>
          <w:sz w:val="28"/>
          <w:szCs w:val="28"/>
        </w:rPr>
      </w:pPr>
      <w:r w:rsidRPr="007005C5">
        <w:rPr>
          <w:rFonts w:ascii="Arial" w:hAnsi="Arial" w:cs="Arial"/>
          <w:sz w:val="28"/>
          <w:szCs w:val="28"/>
        </w:rPr>
        <w:lastRenderedPageBreak/>
        <w:t>manufactured</w:t>
      </w:r>
    </w:p>
    <w:p w14:paraId="1465E363" w14:textId="77777777" w:rsidR="000374B3" w:rsidRPr="007005C5" w:rsidRDefault="000374B3">
      <w:pPr>
        <w:widowControl/>
        <w:ind w:left="720"/>
        <w:jc w:val="both"/>
        <w:rPr>
          <w:rFonts w:ascii="Arial" w:hAnsi="Arial" w:cs="Arial"/>
          <w:sz w:val="28"/>
          <w:szCs w:val="28"/>
        </w:rPr>
      </w:pPr>
      <w:r w:rsidRPr="007005C5">
        <w:rPr>
          <w:rFonts w:ascii="Arial" w:hAnsi="Arial" w:cs="Arial"/>
          <w:sz w:val="28"/>
          <w:szCs w:val="28"/>
        </w:rPr>
        <w:t>sold</w:t>
      </w:r>
    </w:p>
    <w:p w14:paraId="23D11187" w14:textId="4E9C1939" w:rsidR="000374B3" w:rsidRDefault="000374B3">
      <w:pPr>
        <w:widowControl/>
        <w:ind w:left="720"/>
        <w:jc w:val="both"/>
        <w:rPr>
          <w:rFonts w:ascii="Arial" w:hAnsi="Arial" w:cs="Arial"/>
          <w:sz w:val="28"/>
          <w:szCs w:val="28"/>
        </w:rPr>
      </w:pPr>
      <w:r w:rsidRPr="007005C5">
        <w:rPr>
          <w:rFonts w:ascii="Arial" w:hAnsi="Arial" w:cs="Arial"/>
          <w:sz w:val="28"/>
          <w:szCs w:val="28"/>
        </w:rPr>
        <w:t>possessed with intent to sell</w:t>
      </w:r>
    </w:p>
    <w:p w14:paraId="55807EF1" w14:textId="77777777" w:rsidR="00221E28" w:rsidRPr="007005C5" w:rsidRDefault="00221E28">
      <w:pPr>
        <w:widowControl/>
        <w:ind w:left="720"/>
        <w:jc w:val="both"/>
        <w:rPr>
          <w:rFonts w:ascii="Arial" w:hAnsi="Arial" w:cs="Arial"/>
          <w:sz w:val="28"/>
          <w:szCs w:val="28"/>
        </w:rPr>
      </w:pPr>
    </w:p>
    <w:p w14:paraId="269A233D" w14:textId="3D92B838" w:rsidR="000374B3" w:rsidRDefault="000374B3">
      <w:pPr>
        <w:widowControl/>
        <w:jc w:val="both"/>
        <w:rPr>
          <w:rFonts w:ascii="Arial" w:hAnsi="Arial" w:cs="Arial"/>
          <w:sz w:val="28"/>
          <w:szCs w:val="28"/>
        </w:rPr>
      </w:pPr>
      <w:r w:rsidRPr="007005C5">
        <w:rPr>
          <w:rFonts w:ascii="Arial" w:hAnsi="Arial" w:cs="Arial"/>
          <w:sz w:val="28"/>
          <w:szCs w:val="28"/>
        </w:rPr>
        <w:t>a substance; and</w:t>
      </w:r>
    </w:p>
    <w:p w14:paraId="40B21FEC" w14:textId="77777777" w:rsidR="00221E28" w:rsidRPr="007005C5" w:rsidRDefault="00221E28">
      <w:pPr>
        <w:widowControl/>
        <w:jc w:val="both"/>
        <w:rPr>
          <w:rFonts w:ascii="Arial" w:hAnsi="Arial" w:cs="Arial"/>
          <w:sz w:val="28"/>
          <w:szCs w:val="28"/>
        </w:rPr>
      </w:pPr>
    </w:p>
    <w:p w14:paraId="0246A1AC" w14:textId="77777777" w:rsidR="000374B3" w:rsidRPr="007005C5" w:rsidRDefault="000374B3">
      <w:pPr>
        <w:widowControl/>
        <w:ind w:firstLine="720"/>
        <w:jc w:val="both"/>
        <w:rPr>
          <w:rFonts w:ascii="Arial" w:hAnsi="Arial" w:cs="Arial"/>
          <w:sz w:val="28"/>
          <w:szCs w:val="28"/>
        </w:rPr>
      </w:pPr>
      <w:r w:rsidRPr="007005C5">
        <w:rPr>
          <w:rFonts w:ascii="Arial" w:hAnsi="Arial" w:cs="Arial"/>
          <w:sz w:val="28"/>
          <w:szCs w:val="28"/>
        </w:rPr>
        <w:t>2. That the substance was an imitation controlled substance; [and]</w:t>
      </w:r>
    </w:p>
    <w:p w14:paraId="13DB7091" w14:textId="77777777" w:rsidR="000374B3" w:rsidRDefault="000374B3">
      <w:pPr>
        <w:widowControl/>
        <w:ind w:firstLine="720"/>
        <w:jc w:val="both"/>
        <w:rPr>
          <w:rFonts w:ascii="Arial" w:hAnsi="Arial" w:cs="Arial"/>
          <w:sz w:val="28"/>
          <w:szCs w:val="28"/>
        </w:rPr>
      </w:pPr>
    </w:p>
    <w:p w14:paraId="6AB4F409" w14:textId="0C7F89F0" w:rsidR="00221E28" w:rsidRPr="007005C5" w:rsidRDefault="00221E28">
      <w:pPr>
        <w:widowControl/>
        <w:ind w:firstLine="720"/>
        <w:jc w:val="both"/>
        <w:rPr>
          <w:rFonts w:ascii="Arial" w:hAnsi="Arial" w:cs="Arial"/>
          <w:sz w:val="28"/>
          <w:szCs w:val="28"/>
        </w:rPr>
        <w:sectPr w:rsidR="00221E28" w:rsidRPr="007005C5">
          <w:footerReference w:type="default" r:id="rId7"/>
          <w:type w:val="continuous"/>
          <w:pgSz w:w="12240" w:h="15840"/>
          <w:pgMar w:top="1350" w:right="2160" w:bottom="1440" w:left="2160" w:header="1350" w:footer="1440" w:gutter="0"/>
          <w:cols w:space="720"/>
          <w:noEndnote/>
        </w:sectPr>
      </w:pPr>
    </w:p>
    <w:p w14:paraId="3B02F216" w14:textId="647A1CE0" w:rsidR="000374B3" w:rsidRDefault="000374B3">
      <w:pPr>
        <w:widowControl/>
        <w:ind w:firstLine="720"/>
        <w:jc w:val="both"/>
        <w:rPr>
          <w:rFonts w:ascii="Arial" w:hAnsi="Arial" w:cs="Arial"/>
          <w:sz w:val="28"/>
          <w:szCs w:val="28"/>
        </w:rPr>
      </w:pPr>
      <w:r w:rsidRPr="007005C5">
        <w:rPr>
          <w:rFonts w:ascii="Arial" w:hAnsi="Arial" w:cs="Arial"/>
          <w:sz w:val="28"/>
          <w:szCs w:val="28"/>
        </w:rPr>
        <w:t xml:space="preserve">[3.  That the defendant was convicted of the offense of Imitation Controlled Substances within the five years </w:t>
      </w:r>
      <w:proofErr w:type="gramStart"/>
      <w:r w:rsidRPr="007005C5">
        <w:rPr>
          <w:rFonts w:ascii="Arial" w:hAnsi="Arial" w:cs="Arial"/>
          <w:sz w:val="28"/>
          <w:szCs w:val="28"/>
        </w:rPr>
        <w:t>preceding  (</w:t>
      </w:r>
      <w:proofErr w:type="gramEnd"/>
      <w:r w:rsidRPr="007005C5">
        <w:rPr>
          <w:rFonts w:ascii="Arial" w:hAnsi="Arial" w:cs="Arial"/>
          <w:i/>
          <w:iCs/>
          <w:sz w:val="28"/>
          <w:szCs w:val="28"/>
          <w:u w:val="single"/>
        </w:rPr>
        <w:t>specify date in element one</w:t>
      </w:r>
      <w:r w:rsidRPr="007005C5">
        <w:rPr>
          <w:rFonts w:ascii="Arial" w:hAnsi="Arial" w:cs="Arial"/>
          <w:sz w:val="28"/>
          <w:szCs w:val="28"/>
        </w:rPr>
        <w:t>)</w:t>
      </w:r>
      <w:r w:rsidRPr="007005C5">
        <w:rPr>
          <w:rStyle w:val="FootnoteReference"/>
          <w:rFonts w:ascii="Arial" w:hAnsi="Arial" w:cs="Arial"/>
          <w:sz w:val="28"/>
          <w:szCs w:val="28"/>
          <w:vertAlign w:val="superscript"/>
        </w:rPr>
        <w:footnoteReference w:id="9"/>
      </w:r>
      <w:r w:rsidRPr="007005C5">
        <w:rPr>
          <w:rFonts w:ascii="Arial" w:hAnsi="Arial" w:cs="Arial"/>
          <w:sz w:val="28"/>
          <w:szCs w:val="28"/>
        </w:rPr>
        <w:t>].</w:t>
      </w:r>
    </w:p>
    <w:p w14:paraId="3BB2B20A" w14:textId="77777777" w:rsidR="00221E28" w:rsidRPr="007005C5" w:rsidRDefault="00221E28">
      <w:pPr>
        <w:widowControl/>
        <w:ind w:firstLine="720"/>
        <w:jc w:val="both"/>
        <w:rPr>
          <w:rFonts w:ascii="Arial" w:hAnsi="Arial" w:cs="Arial"/>
          <w:sz w:val="28"/>
          <w:szCs w:val="28"/>
        </w:rPr>
      </w:pPr>
    </w:p>
    <w:p w14:paraId="7B0E0749" w14:textId="5164FC5A" w:rsidR="000374B3" w:rsidRDefault="000374B3">
      <w:pPr>
        <w:widowControl/>
        <w:ind w:firstLine="720"/>
        <w:jc w:val="both"/>
        <w:rPr>
          <w:rFonts w:ascii="Arial" w:hAnsi="Arial" w:cs="Arial"/>
          <w:sz w:val="28"/>
          <w:szCs w:val="28"/>
        </w:rPr>
      </w:pPr>
      <w:r w:rsidRPr="007005C5">
        <w:rPr>
          <w:rFonts w:ascii="Arial" w:hAnsi="Arial" w:cs="Arial"/>
          <w:sz w:val="28"/>
          <w:szCs w:val="28"/>
        </w:rPr>
        <w:t>If you find the People have proven beyond a reasonable doubt each of those elements, you must find the defendant guilty of this crime.</w:t>
      </w:r>
    </w:p>
    <w:p w14:paraId="2A31F6EB" w14:textId="77777777" w:rsidR="00221E28" w:rsidRPr="007005C5" w:rsidRDefault="00221E28">
      <w:pPr>
        <w:widowControl/>
        <w:ind w:firstLine="720"/>
        <w:jc w:val="both"/>
        <w:rPr>
          <w:rFonts w:ascii="Arial" w:hAnsi="Arial" w:cs="Arial"/>
          <w:sz w:val="28"/>
          <w:szCs w:val="28"/>
        </w:rPr>
      </w:pPr>
    </w:p>
    <w:p w14:paraId="643A7ECB" w14:textId="77777777" w:rsidR="000374B3" w:rsidRPr="007005C5" w:rsidRDefault="000374B3">
      <w:pPr>
        <w:widowControl/>
        <w:ind w:firstLine="720"/>
        <w:jc w:val="both"/>
        <w:rPr>
          <w:rFonts w:ascii="Arial" w:hAnsi="Arial" w:cs="Arial"/>
          <w:sz w:val="28"/>
          <w:szCs w:val="28"/>
        </w:rPr>
      </w:pPr>
      <w:r w:rsidRPr="007005C5">
        <w:rPr>
          <w:rFonts w:ascii="Arial" w:hAnsi="Arial" w:cs="Arial"/>
          <w:sz w:val="28"/>
          <w:szCs w:val="28"/>
        </w:rPr>
        <w:t>If you find the People have not proven beyond a reasonable doubt any one or more of those elements, you must find the defendant not guilty of this crime.</w:t>
      </w:r>
    </w:p>
    <w:p w14:paraId="331F1494" w14:textId="77777777" w:rsidR="000374B3" w:rsidRPr="007005C5" w:rsidRDefault="000374B3">
      <w:pPr>
        <w:spacing w:line="259" w:lineRule="auto"/>
        <w:rPr>
          <w:rFonts w:ascii="Arial" w:hAnsi="Arial" w:cs="Arial"/>
          <w:sz w:val="28"/>
          <w:szCs w:val="28"/>
        </w:rPr>
      </w:pPr>
    </w:p>
    <w:sectPr w:rsidR="000374B3" w:rsidRPr="007005C5" w:rsidSect="000374B3">
      <w:type w:val="continuous"/>
      <w:pgSz w:w="12240" w:h="15840"/>
      <w:pgMar w:top="1350" w:right="2160" w:bottom="1440" w:left="216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33A5" w14:textId="77777777" w:rsidR="000374B3" w:rsidRDefault="000374B3" w:rsidP="000374B3">
      <w:r>
        <w:separator/>
      </w:r>
    </w:p>
  </w:endnote>
  <w:endnote w:type="continuationSeparator" w:id="0">
    <w:p w14:paraId="2068797C" w14:textId="77777777" w:rsidR="000374B3" w:rsidRDefault="000374B3" w:rsidP="0003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E5F7" w14:textId="77777777" w:rsidR="000374B3" w:rsidRDefault="000374B3">
    <w:pPr>
      <w:spacing w:line="240" w:lineRule="exact"/>
    </w:pPr>
  </w:p>
  <w:p w14:paraId="47802619" w14:textId="77777777" w:rsidR="000374B3" w:rsidRDefault="000374B3">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sidR="007005C5">
      <w:rPr>
        <w:rFonts w:ascii="Arial" w:hAnsi="Arial" w:cs="Arial"/>
        <w:sz w:val="20"/>
        <w:szCs w:val="20"/>
      </w:rPr>
      <w:fldChar w:fldCharType="separate"/>
    </w:r>
    <w:r w:rsidR="007005C5">
      <w:rPr>
        <w:rFonts w:ascii="Arial" w:hAnsi="Arial" w:cs="Arial"/>
        <w:noProof/>
        <w:sz w:val="20"/>
        <w:szCs w:val="20"/>
      </w:rPr>
      <w:t>2</w:t>
    </w:r>
    <w:r>
      <w:rPr>
        <w:rFonts w:ascii="Arial" w:hAnsi="Arial" w:cs="Arial"/>
        <w:sz w:val="20"/>
        <w:szCs w:val="20"/>
      </w:rPr>
      <w:fldChar w:fldCharType="end"/>
    </w:r>
  </w:p>
  <w:p w14:paraId="1A42602E" w14:textId="77777777" w:rsidR="000374B3" w:rsidRDefault="000374B3">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53BA5" w14:textId="77777777" w:rsidR="000374B3" w:rsidRDefault="000374B3" w:rsidP="000374B3">
      <w:r>
        <w:separator/>
      </w:r>
    </w:p>
  </w:footnote>
  <w:footnote w:type="continuationSeparator" w:id="0">
    <w:p w14:paraId="373D3DDD" w14:textId="77777777" w:rsidR="000374B3" w:rsidRDefault="000374B3" w:rsidP="000374B3">
      <w:r>
        <w:continuationSeparator/>
      </w:r>
    </w:p>
  </w:footnote>
  <w:footnote w:id="1">
    <w:p w14:paraId="75916C08" w14:textId="77777777" w:rsidR="000374B3" w:rsidRPr="007005C5" w:rsidRDefault="000374B3">
      <w:pPr>
        <w:ind w:firstLine="720"/>
        <w:jc w:val="both"/>
        <w:rPr>
          <w:rFonts w:ascii="Arial" w:hAnsi="Arial" w:cs="Arial"/>
        </w:rPr>
      </w:pPr>
      <w:r w:rsidRPr="007005C5">
        <w:rPr>
          <w:rFonts w:ascii="Arial" w:hAnsi="Arial" w:cs="Arial"/>
          <w:vertAlign w:val="superscript"/>
        </w:rPr>
        <w:t>1</w:t>
      </w:r>
      <w:r w:rsidRPr="007005C5">
        <w:rPr>
          <w:rFonts w:ascii="Arial" w:hAnsi="Arial" w:cs="Arial"/>
        </w:rPr>
        <w:t xml:space="preserve"> If the defendant has within the previous five years been convicted of a violation of Public Health Law </w:t>
      </w:r>
      <w:r w:rsidRPr="007005C5">
        <w:rPr>
          <w:rFonts w:ascii="Arial" w:hAnsi="Arial" w:cs="Arial"/>
        </w:rPr>
        <w:sym w:font="WP TypographicSymbols" w:char="0027"/>
      </w:r>
      <w:r w:rsidRPr="007005C5">
        <w:rPr>
          <w:rFonts w:ascii="Arial" w:hAnsi="Arial" w:cs="Arial"/>
        </w:rPr>
        <w:t xml:space="preserve"> 3383, a conviction of Imitation Controlled Substances is an E felony (</w:t>
      </w:r>
      <w:r w:rsidRPr="007005C5">
        <w:rPr>
          <w:rFonts w:ascii="Arial" w:hAnsi="Arial" w:cs="Arial"/>
          <w:i/>
          <w:iCs/>
        </w:rPr>
        <w:t>See</w:t>
      </w:r>
      <w:r w:rsidRPr="007005C5">
        <w:rPr>
          <w:rFonts w:ascii="Arial" w:hAnsi="Arial" w:cs="Arial"/>
        </w:rPr>
        <w:t xml:space="preserve"> Public Health Law </w:t>
      </w:r>
      <w:r w:rsidRPr="007005C5">
        <w:rPr>
          <w:rFonts w:ascii="Arial" w:hAnsi="Arial" w:cs="Arial"/>
        </w:rPr>
        <w:sym w:font="WP TypographicSymbols" w:char="0027"/>
      </w:r>
      <w:r w:rsidRPr="007005C5">
        <w:rPr>
          <w:rFonts w:ascii="Arial" w:hAnsi="Arial" w:cs="Arial"/>
        </w:rPr>
        <w:t xml:space="preserve"> 3383 [7]).  Thus, an additional element of this crime when charged as an E felony is that the defendant has been previously convicted of a violation of Public Health Law </w:t>
      </w:r>
      <w:r w:rsidRPr="007005C5">
        <w:rPr>
          <w:rFonts w:ascii="Arial" w:hAnsi="Arial" w:cs="Arial"/>
        </w:rPr>
        <w:sym w:font="WP TypographicSymbols" w:char="0027"/>
      </w:r>
      <w:r w:rsidRPr="007005C5">
        <w:rPr>
          <w:rFonts w:ascii="Arial" w:hAnsi="Arial" w:cs="Arial"/>
        </w:rPr>
        <w:t xml:space="preserve"> 3383.  That element must be charged in a special information.  If, upon such arraignment, the defendant admits the element, the court must not make any reference to it in the definition of the offense or in listing the elements of the offense.  But if the defendant denies that element or remains mute, the court must add the element to the definition of the offense and the list of elements (</w:t>
      </w:r>
      <w:r w:rsidRPr="007005C5">
        <w:rPr>
          <w:rFonts w:ascii="Arial" w:hAnsi="Arial" w:cs="Arial"/>
          <w:i/>
          <w:iCs/>
        </w:rPr>
        <w:t>see</w:t>
      </w:r>
      <w:r w:rsidRPr="007005C5">
        <w:rPr>
          <w:rFonts w:ascii="Arial" w:hAnsi="Arial" w:cs="Arial"/>
        </w:rPr>
        <w:t xml:space="preserve"> CPL 200.60; </w:t>
      </w:r>
      <w:r w:rsidRPr="007005C5">
        <w:rPr>
          <w:rFonts w:ascii="Arial" w:hAnsi="Arial" w:cs="Arial"/>
          <w:i/>
          <w:iCs/>
        </w:rPr>
        <w:t>People v Cooper</w:t>
      </w:r>
      <w:r w:rsidRPr="007005C5">
        <w:rPr>
          <w:rFonts w:ascii="Arial" w:hAnsi="Arial" w:cs="Arial"/>
        </w:rPr>
        <w:t>, 78 NY2d 476, 481-482 [1991]).</w:t>
      </w:r>
    </w:p>
    <w:p w14:paraId="66EA7207" w14:textId="77777777" w:rsidR="000374B3" w:rsidRPr="007005C5" w:rsidRDefault="000374B3">
      <w:pPr>
        <w:rPr>
          <w:rFonts w:ascii="Arial" w:hAnsi="Arial" w:cs="Arial"/>
        </w:rPr>
      </w:pPr>
    </w:p>
  </w:footnote>
  <w:footnote w:id="2">
    <w:p w14:paraId="4B2571F3" w14:textId="77777777" w:rsidR="000374B3" w:rsidRPr="007005C5" w:rsidRDefault="000374B3">
      <w:pPr>
        <w:pStyle w:val="footnotetex"/>
        <w:widowControl/>
        <w:ind w:firstLine="720"/>
        <w:jc w:val="both"/>
        <w:rPr>
          <w:rFonts w:ascii="Arial" w:hAnsi="Arial" w:cs="Arial"/>
        </w:rPr>
      </w:pPr>
      <w:r>
        <w:rPr>
          <w:rStyle w:val="FootnoteReference"/>
          <w:rFonts w:ascii="Arial" w:hAnsi="Arial" w:cs="Arial"/>
          <w:vertAlign w:val="superscript"/>
        </w:rPr>
        <w:footnoteRef/>
      </w:r>
      <w:r>
        <w:rPr>
          <w:rFonts w:ascii="Arial" w:hAnsi="Arial" w:cs="Arial"/>
        </w:rPr>
        <w:t xml:space="preserve"> </w:t>
      </w:r>
      <w:r w:rsidRPr="007005C5">
        <w:rPr>
          <w:rFonts w:ascii="Arial" w:hAnsi="Arial" w:cs="Arial"/>
        </w:rPr>
        <w:t xml:space="preserve">Here, the statute reads, </w:t>
      </w:r>
      <w:r w:rsidRPr="007005C5">
        <w:rPr>
          <w:rFonts w:ascii="Arial" w:hAnsi="Arial" w:cs="Arial"/>
        </w:rPr>
        <w:sym w:font="WP TypographicSymbols" w:char="0041"/>
      </w:r>
      <w:r w:rsidRPr="007005C5">
        <w:rPr>
          <w:rFonts w:ascii="Arial" w:hAnsi="Arial" w:cs="Arial"/>
        </w:rPr>
        <w:t>other than a drug for which a prescription is required pursuant to article one hundred thirty-seven of the education law.</w:t>
      </w:r>
      <w:r w:rsidRPr="007005C5">
        <w:rPr>
          <w:rFonts w:ascii="Arial" w:hAnsi="Arial" w:cs="Arial"/>
        </w:rPr>
        <w:sym w:font="WP TypographicSymbols" w:char="0040"/>
      </w:r>
      <w:r w:rsidRPr="007005C5">
        <w:rPr>
          <w:rFonts w:ascii="Arial" w:hAnsi="Arial" w:cs="Arial"/>
        </w:rPr>
        <w:t xml:space="preserve"> That language is omitted from the instruction because it will not usually be at issue whether the relevant substance falls under that exclusion.  Should this language be at issue,  Public Health Law </w:t>
      </w:r>
      <w:r w:rsidRPr="007005C5">
        <w:rPr>
          <w:rFonts w:ascii="Arial" w:hAnsi="Arial" w:cs="Arial"/>
        </w:rPr>
        <w:sym w:font="WP TypographicSymbols" w:char="0027"/>
      </w:r>
      <w:r w:rsidRPr="007005C5">
        <w:rPr>
          <w:rFonts w:ascii="Arial" w:hAnsi="Arial" w:cs="Arial"/>
        </w:rPr>
        <w:t xml:space="preserve"> 3396 requires that </w:t>
      </w:r>
      <w:r w:rsidRPr="007005C5">
        <w:rPr>
          <w:rFonts w:ascii="Arial" w:hAnsi="Arial" w:cs="Arial"/>
        </w:rPr>
        <w:sym w:font="WP TypographicSymbols" w:char="0041"/>
      </w:r>
      <w:r w:rsidRPr="007005C5">
        <w:rPr>
          <w:rFonts w:ascii="Arial" w:hAnsi="Arial" w:cs="Arial"/>
        </w:rPr>
        <w:t>[i]n any civil, criminal or administrative action or proceeding brought for the enforcement of any provision of this article, it shall not be necessary to negate or disprove any exception, excuse, proviso or exemption contained in this article, and the burden of proof of any such exception, excuse, proviso, or exemption shall be upon the person claiming its benefit.</w:t>
      </w:r>
      <w:r w:rsidRPr="007005C5">
        <w:rPr>
          <w:rFonts w:ascii="Arial" w:hAnsi="Arial" w:cs="Arial"/>
        </w:rPr>
        <w:sym w:font="WP TypographicSymbols" w:char="0040"/>
      </w:r>
      <w:r w:rsidRPr="007005C5">
        <w:rPr>
          <w:rFonts w:ascii="Arial" w:hAnsi="Arial" w:cs="Arial"/>
        </w:rPr>
        <w:t xml:space="preserve">  Thus, if in issue, the exception must be charged to the jury with an instruction that the defendant bears the burden of proof of the exception by a  preponderance of the evidence.  </w:t>
      </w:r>
    </w:p>
    <w:p w14:paraId="76915755" w14:textId="77777777" w:rsidR="000374B3" w:rsidRPr="007005C5" w:rsidRDefault="000374B3">
      <w:pPr>
        <w:widowControl/>
        <w:jc w:val="both"/>
        <w:rPr>
          <w:rFonts w:ascii="Arial" w:hAnsi="Arial" w:cs="Arial"/>
        </w:rPr>
      </w:pPr>
    </w:p>
  </w:footnote>
  <w:footnote w:id="3">
    <w:p w14:paraId="40D052D6" w14:textId="77777777" w:rsidR="000374B3" w:rsidRPr="007005C5" w:rsidRDefault="000374B3">
      <w:pPr>
        <w:pStyle w:val="footnotetex"/>
        <w:widowControl/>
        <w:ind w:firstLine="720"/>
        <w:rPr>
          <w:rFonts w:ascii="Arial" w:hAnsi="Arial" w:cs="Arial"/>
        </w:rPr>
      </w:pPr>
      <w:r w:rsidRPr="007005C5">
        <w:rPr>
          <w:rStyle w:val="FootnoteReference"/>
          <w:rFonts w:ascii="Arial" w:hAnsi="Arial" w:cs="Arial"/>
          <w:vertAlign w:val="superscript"/>
        </w:rPr>
        <w:footnoteRef/>
      </w:r>
      <w:r w:rsidRPr="007005C5">
        <w:rPr>
          <w:rFonts w:ascii="Arial" w:hAnsi="Arial" w:cs="Arial"/>
        </w:rPr>
        <w:t xml:space="preserve"> Public Health Law </w:t>
      </w:r>
      <w:r w:rsidRPr="007005C5">
        <w:rPr>
          <w:rFonts w:ascii="Arial" w:hAnsi="Arial" w:cs="Arial"/>
        </w:rPr>
        <w:sym w:font="WP TypographicSymbols" w:char="0027"/>
      </w:r>
      <w:r w:rsidRPr="007005C5">
        <w:rPr>
          <w:rFonts w:ascii="Arial" w:hAnsi="Arial" w:cs="Arial"/>
        </w:rPr>
        <w:t xml:space="preserve"> 3383 (1) (c).</w:t>
      </w:r>
    </w:p>
    <w:p w14:paraId="1306B86E" w14:textId="77777777" w:rsidR="000374B3" w:rsidRPr="007005C5" w:rsidRDefault="000374B3">
      <w:pPr>
        <w:widowControl/>
        <w:rPr>
          <w:rFonts w:ascii="Arial" w:hAnsi="Arial" w:cs="Arial"/>
        </w:rPr>
      </w:pPr>
    </w:p>
  </w:footnote>
  <w:footnote w:id="4">
    <w:p w14:paraId="03DE21E4" w14:textId="77777777" w:rsidR="000374B3" w:rsidRPr="007005C5" w:rsidRDefault="000374B3">
      <w:pPr>
        <w:pStyle w:val="footnotetex"/>
        <w:widowControl/>
        <w:ind w:firstLine="720"/>
        <w:rPr>
          <w:rFonts w:ascii="Arial" w:hAnsi="Arial" w:cs="Arial"/>
        </w:rPr>
      </w:pPr>
      <w:r w:rsidRPr="007005C5">
        <w:rPr>
          <w:rStyle w:val="FootnoteReference"/>
          <w:rFonts w:ascii="Arial" w:hAnsi="Arial" w:cs="Arial"/>
          <w:vertAlign w:val="superscript"/>
        </w:rPr>
        <w:footnoteRef/>
      </w:r>
      <w:r w:rsidRPr="007005C5">
        <w:rPr>
          <w:rFonts w:ascii="Arial" w:hAnsi="Arial" w:cs="Arial"/>
        </w:rPr>
        <w:t xml:space="preserve"> Public Health Law </w:t>
      </w:r>
      <w:r w:rsidRPr="007005C5">
        <w:rPr>
          <w:rFonts w:ascii="Arial" w:hAnsi="Arial" w:cs="Arial"/>
        </w:rPr>
        <w:sym w:font="WP TypographicSymbols" w:char="0027"/>
      </w:r>
      <w:r w:rsidRPr="007005C5">
        <w:rPr>
          <w:rFonts w:ascii="Arial" w:hAnsi="Arial" w:cs="Arial"/>
        </w:rPr>
        <w:t xml:space="preserve">  3383 (1) (a).</w:t>
      </w:r>
    </w:p>
    <w:p w14:paraId="7BC6D7B4" w14:textId="77777777" w:rsidR="000374B3" w:rsidRPr="007005C5" w:rsidRDefault="000374B3">
      <w:pPr>
        <w:widowControl/>
        <w:rPr>
          <w:rFonts w:ascii="Arial" w:hAnsi="Arial" w:cs="Arial"/>
        </w:rPr>
      </w:pPr>
    </w:p>
  </w:footnote>
  <w:footnote w:id="5">
    <w:p w14:paraId="164E1738" w14:textId="77777777" w:rsidR="000374B3" w:rsidRPr="007005C5" w:rsidRDefault="000374B3">
      <w:pPr>
        <w:pStyle w:val="footnotetex"/>
        <w:widowControl/>
        <w:ind w:firstLine="720"/>
        <w:jc w:val="both"/>
        <w:rPr>
          <w:rFonts w:ascii="Arial" w:hAnsi="Arial" w:cs="Arial"/>
        </w:rPr>
      </w:pPr>
      <w:r>
        <w:rPr>
          <w:rStyle w:val="FootnoteReference"/>
          <w:rFonts w:ascii="Arial" w:hAnsi="Arial" w:cs="Arial"/>
          <w:vertAlign w:val="superscript"/>
        </w:rPr>
        <w:footnoteRef/>
      </w:r>
      <w:r>
        <w:rPr>
          <w:rFonts w:ascii="Arial" w:hAnsi="Arial" w:cs="Arial"/>
        </w:rPr>
        <w:t xml:space="preserve"> </w:t>
      </w:r>
      <w:r w:rsidRPr="007005C5">
        <w:rPr>
          <w:rFonts w:ascii="Arial" w:hAnsi="Arial" w:cs="Arial"/>
        </w:rPr>
        <w:t xml:space="preserve">Public Health Law </w:t>
      </w:r>
      <w:r w:rsidRPr="007005C5">
        <w:rPr>
          <w:rFonts w:ascii="Arial" w:hAnsi="Arial" w:cs="Arial"/>
        </w:rPr>
        <w:sym w:font="WP TypographicSymbols" w:char="0027"/>
      </w:r>
      <w:r w:rsidRPr="007005C5">
        <w:rPr>
          <w:rFonts w:ascii="Arial" w:hAnsi="Arial" w:cs="Arial"/>
        </w:rPr>
        <w:t xml:space="preserve"> 3302 (32); </w:t>
      </w:r>
      <w:r w:rsidRPr="007005C5">
        <w:rPr>
          <w:rFonts w:ascii="Arial" w:hAnsi="Arial" w:cs="Arial"/>
          <w:i/>
          <w:iCs/>
        </w:rPr>
        <w:t>see</w:t>
      </w:r>
      <w:r w:rsidRPr="007005C5">
        <w:rPr>
          <w:rFonts w:ascii="Arial" w:hAnsi="Arial" w:cs="Arial"/>
        </w:rPr>
        <w:t xml:space="preserve"> </w:t>
      </w:r>
      <w:r w:rsidRPr="007005C5">
        <w:rPr>
          <w:rFonts w:ascii="Arial" w:hAnsi="Arial" w:cs="Arial"/>
          <w:i/>
          <w:iCs/>
        </w:rPr>
        <w:t>People v Samuels</w:t>
      </w:r>
      <w:r w:rsidRPr="007005C5">
        <w:rPr>
          <w:rFonts w:ascii="Arial" w:hAnsi="Arial" w:cs="Arial"/>
        </w:rPr>
        <w:t>, 90 NY2d 20 (2002) (discussing offer to sell in article 220 case).</w:t>
      </w:r>
    </w:p>
    <w:p w14:paraId="4CDD7883" w14:textId="77777777" w:rsidR="000374B3" w:rsidRPr="007005C5" w:rsidRDefault="000374B3">
      <w:pPr>
        <w:widowControl/>
        <w:jc w:val="both"/>
        <w:rPr>
          <w:rFonts w:ascii="Arial" w:hAnsi="Arial" w:cs="Arial"/>
        </w:rPr>
      </w:pPr>
    </w:p>
  </w:footnote>
  <w:footnote w:id="6">
    <w:p w14:paraId="67652A21" w14:textId="77777777" w:rsidR="000374B3" w:rsidRPr="007005C5" w:rsidRDefault="000374B3">
      <w:pPr>
        <w:pStyle w:val="footnotetex"/>
        <w:widowControl/>
        <w:ind w:firstLine="720"/>
        <w:jc w:val="both"/>
        <w:rPr>
          <w:rFonts w:ascii="Arial" w:hAnsi="Arial" w:cs="Arial"/>
        </w:rPr>
      </w:pPr>
      <w:r w:rsidRPr="007005C5">
        <w:rPr>
          <w:rStyle w:val="FootnoteReference"/>
          <w:rFonts w:ascii="Arial" w:hAnsi="Arial" w:cs="Arial"/>
          <w:vertAlign w:val="superscript"/>
        </w:rPr>
        <w:footnoteRef/>
      </w:r>
      <w:r w:rsidRPr="007005C5">
        <w:rPr>
          <w:rFonts w:ascii="Arial" w:hAnsi="Arial" w:cs="Arial"/>
        </w:rPr>
        <w:t xml:space="preserve"> Penal Law </w:t>
      </w:r>
      <w:r w:rsidRPr="007005C5">
        <w:rPr>
          <w:rFonts w:ascii="Arial" w:hAnsi="Arial" w:cs="Arial"/>
        </w:rPr>
        <w:sym w:font="WP TypographicSymbols" w:char="0027"/>
      </w:r>
      <w:r w:rsidRPr="007005C5">
        <w:rPr>
          <w:rFonts w:ascii="Arial" w:hAnsi="Arial" w:cs="Arial"/>
        </w:rPr>
        <w:t xml:space="preserve"> 10.00 (8).  The Public Health Law does not define possession. If necessary, an expanded definition of </w:t>
      </w:r>
      <w:r w:rsidRPr="007005C5">
        <w:rPr>
          <w:rFonts w:ascii="Arial" w:hAnsi="Arial" w:cs="Arial"/>
        </w:rPr>
        <w:sym w:font="WP TypographicSymbols" w:char="0041"/>
      </w:r>
      <w:r w:rsidRPr="007005C5">
        <w:rPr>
          <w:rFonts w:ascii="Arial" w:hAnsi="Arial" w:cs="Arial"/>
        </w:rPr>
        <w:t>possession</w:t>
      </w:r>
      <w:r w:rsidRPr="007005C5">
        <w:rPr>
          <w:rFonts w:ascii="Arial" w:hAnsi="Arial" w:cs="Arial"/>
        </w:rPr>
        <w:sym w:font="WP TypographicSymbols" w:char="0040"/>
      </w:r>
      <w:r w:rsidRPr="007005C5">
        <w:rPr>
          <w:rFonts w:ascii="Arial" w:hAnsi="Arial" w:cs="Arial"/>
        </w:rPr>
        <w:t xml:space="preserve"> is available in the section on Instructions of General Applicability under Possession.</w:t>
      </w:r>
    </w:p>
    <w:p w14:paraId="2F0E2D73" w14:textId="77777777" w:rsidR="000374B3" w:rsidRPr="007005C5" w:rsidRDefault="000374B3">
      <w:pPr>
        <w:widowControl/>
        <w:jc w:val="both"/>
        <w:rPr>
          <w:rFonts w:ascii="Arial" w:hAnsi="Arial" w:cs="Arial"/>
        </w:rPr>
      </w:pPr>
    </w:p>
  </w:footnote>
  <w:footnote w:id="7">
    <w:p w14:paraId="4DF2591D" w14:textId="77777777" w:rsidR="000374B3" w:rsidRPr="007005C5" w:rsidRDefault="000374B3">
      <w:pPr>
        <w:pStyle w:val="footnotetex"/>
        <w:widowControl/>
        <w:ind w:firstLine="720"/>
        <w:rPr>
          <w:rFonts w:ascii="Arial" w:hAnsi="Arial" w:cs="Arial"/>
        </w:rPr>
      </w:pPr>
      <w:r w:rsidRPr="007005C5">
        <w:rPr>
          <w:rStyle w:val="FootnoteReference"/>
          <w:rFonts w:ascii="Arial" w:hAnsi="Arial" w:cs="Arial"/>
          <w:vertAlign w:val="superscript"/>
        </w:rPr>
        <w:footnoteRef/>
      </w:r>
      <w:r w:rsidRPr="007005C5">
        <w:rPr>
          <w:rFonts w:ascii="Arial" w:hAnsi="Arial" w:cs="Arial"/>
        </w:rPr>
        <w:t xml:space="preserve"> </w:t>
      </w:r>
      <w:r w:rsidRPr="007005C5">
        <w:rPr>
          <w:rFonts w:ascii="Arial" w:hAnsi="Arial" w:cs="Arial"/>
          <w:i/>
          <w:iCs/>
        </w:rPr>
        <w:t xml:space="preserve">See </w:t>
      </w:r>
      <w:r w:rsidRPr="007005C5">
        <w:rPr>
          <w:rFonts w:ascii="Arial" w:hAnsi="Arial" w:cs="Arial"/>
        </w:rPr>
        <w:t xml:space="preserve">Penal Law </w:t>
      </w:r>
      <w:r w:rsidRPr="007005C5">
        <w:rPr>
          <w:rFonts w:ascii="Arial" w:hAnsi="Arial" w:cs="Arial"/>
        </w:rPr>
        <w:sym w:font="WP TypographicSymbols" w:char="0027"/>
      </w:r>
      <w:r w:rsidRPr="007005C5">
        <w:rPr>
          <w:rFonts w:ascii="Arial" w:hAnsi="Arial" w:cs="Arial"/>
        </w:rPr>
        <w:t xml:space="preserve"> 15.05 (1).</w:t>
      </w:r>
    </w:p>
    <w:p w14:paraId="65517A2F" w14:textId="77777777" w:rsidR="000374B3" w:rsidRPr="007005C5" w:rsidRDefault="000374B3">
      <w:pPr>
        <w:widowControl/>
        <w:rPr>
          <w:rFonts w:ascii="Arial" w:hAnsi="Arial" w:cs="Arial"/>
        </w:rPr>
      </w:pPr>
    </w:p>
  </w:footnote>
  <w:footnote w:id="8">
    <w:p w14:paraId="01C95650" w14:textId="77777777" w:rsidR="000374B3" w:rsidRPr="007005C5" w:rsidRDefault="000374B3">
      <w:pPr>
        <w:ind w:firstLine="720"/>
        <w:rPr>
          <w:rFonts w:ascii="Arial" w:hAnsi="Arial" w:cs="Arial"/>
        </w:rPr>
      </w:pPr>
      <w:r w:rsidRPr="007005C5">
        <w:rPr>
          <w:rFonts w:ascii="Arial" w:hAnsi="Arial" w:cs="Arial"/>
          <w:vertAlign w:val="superscript"/>
        </w:rPr>
        <w:t>8</w:t>
      </w:r>
      <w:r w:rsidRPr="007005C5">
        <w:rPr>
          <w:rFonts w:ascii="Arial" w:hAnsi="Arial" w:cs="Arial"/>
        </w:rPr>
        <w:t xml:space="preserve"> Public Health Law </w:t>
      </w:r>
      <w:r w:rsidRPr="007005C5">
        <w:rPr>
          <w:rFonts w:ascii="Arial" w:hAnsi="Arial" w:cs="Arial"/>
        </w:rPr>
        <w:sym w:font="WP TypographicSymbols" w:char="0027"/>
      </w:r>
      <w:r w:rsidRPr="007005C5">
        <w:rPr>
          <w:rFonts w:ascii="Arial" w:hAnsi="Arial" w:cs="Arial"/>
        </w:rPr>
        <w:t xml:space="preserve"> 3383 (6).</w:t>
      </w:r>
    </w:p>
  </w:footnote>
  <w:footnote w:id="9">
    <w:p w14:paraId="2400EA7F" w14:textId="77777777" w:rsidR="000374B3" w:rsidRPr="007005C5" w:rsidRDefault="000374B3">
      <w:pPr>
        <w:ind w:firstLine="720"/>
        <w:rPr>
          <w:rFonts w:ascii="Arial" w:hAnsi="Arial" w:cs="Arial"/>
        </w:rPr>
      </w:pPr>
      <w:r w:rsidRPr="007005C5">
        <w:rPr>
          <w:rFonts w:ascii="Arial" w:hAnsi="Arial" w:cs="Arial"/>
          <w:vertAlign w:val="superscript"/>
        </w:rPr>
        <w:t>9</w:t>
      </w:r>
      <w:r w:rsidRPr="007005C5">
        <w:rPr>
          <w:rFonts w:ascii="Arial" w:hAnsi="Arial" w:cs="Arial"/>
        </w:rPr>
        <w:t xml:space="preserve"> See footnote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77BEB"/>
    <w:multiLevelType w:val="hybridMultilevel"/>
    <w:tmpl w:val="50E25A5A"/>
    <w:lvl w:ilvl="0" w:tplc="9848A5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B3"/>
    <w:rsid w:val="000374B3"/>
    <w:rsid w:val="00221E28"/>
    <w:rsid w:val="0070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541A5"/>
  <w14:defaultImageDpi w14:val="0"/>
  <w15:docId w15:val="{7ED69332-954C-483E-B1AA-E0BCB2C7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annotationr">
    <w:name w:val="annotation r"/>
    <w:uiPriority w:val="99"/>
    <w:rPr>
      <w:rFonts w:ascii="Sakkal Majalla" w:hAnsi="Sakkal Majalla" w:cs="Sakkal Majalla"/>
      <w:sz w:val="16"/>
      <w:szCs w:val="16"/>
    </w:rPr>
  </w:style>
  <w:style w:type="character" w:customStyle="1" w:styleId="footnoteref">
    <w:name w:val="footnote ref"/>
    <w:uiPriority w:val="99"/>
    <w:rPr>
      <w:vertAlign w:val="superscript"/>
    </w:rPr>
  </w:style>
  <w:style w:type="paragraph" w:customStyle="1" w:styleId="footnotetex">
    <w:name w:val="footnote tex"/>
    <w:basedOn w:val="Normal"/>
    <w:uiPriority w:val="99"/>
    <w:rPr>
      <w:rFonts w:ascii="Calibri" w:hAnsi="Calibri" w:cs="Calibri"/>
    </w:rPr>
  </w:style>
  <w:style w:type="paragraph" w:styleId="ListParagraph">
    <w:name w:val="List Paragraph"/>
    <w:basedOn w:val="Normal"/>
    <w:uiPriority w:val="34"/>
    <w:qFormat/>
    <w:rsid w:val="00221E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Hon. William Donnino</cp:lastModifiedBy>
  <cp:revision>2</cp:revision>
  <dcterms:created xsi:type="dcterms:W3CDTF">2020-01-07T04:56:00Z</dcterms:created>
  <dcterms:modified xsi:type="dcterms:W3CDTF">2020-01-07T04:56:00Z</dcterms:modified>
</cp:coreProperties>
</file>